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A7" w:rsidRDefault="00257DA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200025</wp:posOffset>
            </wp:positionH>
            <wp:positionV relativeFrom="paragraph">
              <wp:posOffset>-469899</wp:posOffset>
            </wp:positionV>
            <wp:extent cx="5231765" cy="102616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102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32A7" w:rsidRDefault="00B032A7">
      <w:pPr>
        <w:spacing w:line="360" w:lineRule="auto"/>
        <w:jc w:val="center"/>
      </w:pPr>
    </w:p>
    <w:p w:rsidR="00B032A7" w:rsidRDefault="00B032A7">
      <w:pPr>
        <w:spacing w:line="360" w:lineRule="auto"/>
        <w:jc w:val="center"/>
      </w:pPr>
    </w:p>
    <w:p w:rsidR="00B032A7" w:rsidRDefault="00257DA8">
      <w:pPr>
        <w:tabs>
          <w:tab w:val="left" w:pos="765"/>
          <w:tab w:val="right" w:pos="949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Apstiprināts </w:t>
      </w:r>
    </w:p>
    <w:p w:rsidR="00B032A7" w:rsidRDefault="00257DA8">
      <w:pPr>
        <w:tabs>
          <w:tab w:val="left" w:pos="999"/>
          <w:tab w:val="right" w:pos="949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ar nodibinājuma „Limbažu fonds”</w:t>
      </w:r>
    </w:p>
    <w:p w:rsidR="00B032A7" w:rsidRDefault="00257DA8">
      <w:pPr>
        <w:spacing w:line="360" w:lineRule="auto"/>
        <w:jc w:val="right"/>
      </w:pPr>
      <w:r>
        <w:rPr>
          <w:sz w:val="18"/>
          <w:szCs w:val="18"/>
        </w:rPr>
        <w:t>dibinātāju sapulces 04.01.2018. lēmumu</w:t>
      </w:r>
    </w:p>
    <w:p w:rsidR="00B032A7" w:rsidRDefault="00B032A7">
      <w:pPr>
        <w:spacing w:line="360" w:lineRule="auto"/>
        <w:jc w:val="center"/>
      </w:pPr>
    </w:p>
    <w:p w:rsidR="00B032A7" w:rsidRDefault="00257DA8">
      <w:pPr>
        <w:spacing w:line="360" w:lineRule="auto"/>
        <w:jc w:val="center"/>
      </w:pPr>
      <w:r>
        <w:rPr>
          <w:b/>
        </w:rPr>
        <w:t xml:space="preserve">Projektu konkursa “Ziedotāju aplis, Aloja 2018” </w:t>
      </w:r>
    </w:p>
    <w:p w:rsidR="00B032A7" w:rsidRDefault="00257DA8">
      <w:pPr>
        <w:spacing w:line="360" w:lineRule="auto"/>
        <w:jc w:val="center"/>
      </w:pPr>
      <w:r>
        <w:rPr>
          <w:b/>
        </w:rPr>
        <w:t>NOLIKUMS</w:t>
      </w:r>
    </w:p>
    <w:p w:rsidR="00B032A7" w:rsidRDefault="00B032A7">
      <w:pPr>
        <w:spacing w:line="360" w:lineRule="auto"/>
        <w:jc w:val="both"/>
      </w:pPr>
    </w:p>
    <w:p w:rsidR="00B032A7" w:rsidRDefault="00257DA8">
      <w:pPr>
        <w:numPr>
          <w:ilvl w:val="0"/>
          <w:numId w:val="1"/>
        </w:numPr>
        <w:spacing w:after="120"/>
        <w:ind w:left="714" w:hanging="357"/>
        <w:jc w:val="both"/>
      </w:pPr>
      <w:r>
        <w:rPr>
          <w:b/>
        </w:rPr>
        <w:t xml:space="preserve">Vispārīgie noteikumi </w:t>
      </w:r>
    </w:p>
    <w:p w:rsidR="00B032A7" w:rsidRDefault="00257DA8">
      <w:pPr>
        <w:numPr>
          <w:ilvl w:val="1"/>
          <w:numId w:val="1"/>
        </w:numPr>
        <w:ind w:left="567" w:hanging="567"/>
        <w:jc w:val="both"/>
      </w:pPr>
      <w:r>
        <w:t>Konkursu „Ziedotāju aplis, Aloja 2018” (turpmāk – Konkurss) organizē nodibinājums „Limbažu fonds”</w:t>
      </w:r>
      <w:r>
        <w:t xml:space="preserve"> (turpmāk- LF)</w:t>
      </w:r>
      <w:r>
        <w:t>.</w:t>
      </w:r>
    </w:p>
    <w:p w:rsidR="00B032A7" w:rsidRDefault="00257DA8">
      <w:pPr>
        <w:numPr>
          <w:ilvl w:val="1"/>
          <w:numId w:val="1"/>
        </w:numPr>
        <w:ind w:left="567" w:hanging="567"/>
        <w:jc w:val="both"/>
      </w:pPr>
      <w:r>
        <w:t>Konkursa mērķis ir veicināt mērķtiecīgas un aktīvas, savas kultūras un apkārtējās vides cienošas sabiedrības veidošanos, atbalstot projektus be</w:t>
      </w:r>
      <w:r>
        <w:t>z tematiskiem ierobežojumiem.</w:t>
      </w:r>
    </w:p>
    <w:p w:rsidR="00B032A7" w:rsidRDefault="00257DA8">
      <w:pPr>
        <w:numPr>
          <w:ilvl w:val="1"/>
          <w:numId w:val="1"/>
        </w:numPr>
        <w:ind w:left="567" w:hanging="567"/>
        <w:jc w:val="both"/>
      </w:pPr>
      <w:r>
        <w:t>Konkursā projekta pieteikumu var iesniegt:</w:t>
      </w:r>
    </w:p>
    <w:p w:rsidR="00B032A7" w:rsidRDefault="00257DA8">
      <w:pPr>
        <w:numPr>
          <w:ilvl w:val="2"/>
          <w:numId w:val="1"/>
        </w:numPr>
        <w:ind w:left="1276" w:hanging="709"/>
        <w:jc w:val="both"/>
      </w:pPr>
      <w:r>
        <w:t>biedrības un nodibinājumi, kuru juridiskā adrese ir reģistrēta Alojas novadā;</w:t>
      </w:r>
    </w:p>
    <w:p w:rsidR="00B032A7" w:rsidRDefault="00257DA8">
      <w:pPr>
        <w:numPr>
          <w:ilvl w:val="2"/>
          <w:numId w:val="1"/>
        </w:numPr>
        <w:ind w:left="1276" w:hanging="709"/>
        <w:jc w:val="both"/>
      </w:pPr>
      <w:r>
        <w:t xml:space="preserve">fiziska persona vai to neformālās grupas, kuru dzīvesvietas ir deklarētas Alojas novadā. Grupas gadījumā </w:t>
      </w:r>
      <w:r>
        <w:t xml:space="preserve">vismaz vienam grupas dalībniekam ir jābūt pilngadīgam. </w:t>
      </w:r>
    </w:p>
    <w:p w:rsidR="00B032A7" w:rsidRDefault="00257DA8">
      <w:pPr>
        <w:numPr>
          <w:ilvl w:val="1"/>
          <w:numId w:val="1"/>
        </w:numPr>
        <w:ind w:left="567" w:hanging="567"/>
        <w:jc w:val="both"/>
      </w:pPr>
      <w:r>
        <w:t>Viens pretendents var iesniegt vienu pieteikumu.</w:t>
      </w:r>
    </w:p>
    <w:p w:rsidR="00B032A7" w:rsidRDefault="00257DA8">
      <w:pPr>
        <w:numPr>
          <w:ilvl w:val="1"/>
          <w:numId w:val="1"/>
        </w:numPr>
        <w:ind w:left="567" w:hanging="567"/>
        <w:jc w:val="both"/>
      </w:pPr>
      <w:r>
        <w:t>Konkursā var tikt atbalstīti sabiedriska labuma projekti.</w:t>
      </w:r>
    </w:p>
    <w:p w:rsidR="00B032A7" w:rsidRDefault="00257DA8">
      <w:pPr>
        <w:numPr>
          <w:ilvl w:val="1"/>
          <w:numId w:val="6"/>
        </w:numPr>
        <w:ind w:left="567" w:hanging="567"/>
        <w:jc w:val="both"/>
      </w:pPr>
      <w:r>
        <w:t>Konkursā tiks atbalstīti projekti bez tematiskiem ierobežojumiem.</w:t>
      </w:r>
    </w:p>
    <w:p w:rsidR="00B032A7" w:rsidRDefault="00257DA8">
      <w:pPr>
        <w:numPr>
          <w:ilvl w:val="1"/>
          <w:numId w:val="6"/>
        </w:numPr>
        <w:ind w:left="567" w:hanging="567"/>
        <w:jc w:val="both"/>
      </w:pPr>
      <w:r>
        <w:t xml:space="preserve">Konkursa ietvaros iesniegtajam projektam jāatbilst šādiem nosacījumiem: </w:t>
      </w:r>
    </w:p>
    <w:p w:rsidR="00B032A7" w:rsidRDefault="00257DA8">
      <w:pPr>
        <w:numPr>
          <w:ilvl w:val="2"/>
          <w:numId w:val="6"/>
        </w:numPr>
        <w:ind w:left="1276" w:hanging="709"/>
        <w:jc w:val="both"/>
      </w:pPr>
      <w:r>
        <w:t>tas nav vērsts uz personīgu, bet sabiedrisku labumu;</w:t>
      </w:r>
    </w:p>
    <w:p w:rsidR="00B032A7" w:rsidRDefault="00257DA8">
      <w:pPr>
        <w:numPr>
          <w:ilvl w:val="2"/>
          <w:numId w:val="6"/>
        </w:numPr>
        <w:ind w:left="1276" w:hanging="709"/>
        <w:jc w:val="both"/>
      </w:pPr>
      <w:r>
        <w:t xml:space="preserve">tam nav peļņas gūšanas rakstura; </w:t>
      </w:r>
    </w:p>
    <w:p w:rsidR="00B032A7" w:rsidRDefault="00257DA8">
      <w:pPr>
        <w:numPr>
          <w:ilvl w:val="2"/>
          <w:numId w:val="6"/>
        </w:numPr>
        <w:ind w:left="1276" w:hanging="709"/>
        <w:jc w:val="both"/>
      </w:pPr>
      <w:r>
        <w:t>projekts tiek īstenots Alojas novada teritorijā.</w:t>
      </w:r>
    </w:p>
    <w:p w:rsidR="00B032A7" w:rsidRDefault="00257DA8">
      <w:pPr>
        <w:numPr>
          <w:ilvl w:val="1"/>
          <w:numId w:val="6"/>
        </w:numPr>
        <w:ind w:left="567" w:hanging="567"/>
        <w:jc w:val="both"/>
      </w:pPr>
      <w:r>
        <w:t xml:space="preserve">Projektu pieteikumu sākotnējo </w:t>
      </w:r>
      <w:proofErr w:type="spellStart"/>
      <w:r>
        <w:t>izvērtējumu</w:t>
      </w:r>
      <w:proofErr w:type="spellEnd"/>
      <w:r>
        <w:t xml:space="preserve"> nodro</w:t>
      </w:r>
      <w:r>
        <w:t>šina LF izveidota vērtēšanas komisija.</w:t>
      </w:r>
    </w:p>
    <w:p w:rsidR="00B032A7" w:rsidRDefault="00257DA8">
      <w:pPr>
        <w:numPr>
          <w:ilvl w:val="1"/>
          <w:numId w:val="6"/>
        </w:numPr>
        <w:ind w:left="567" w:hanging="567"/>
        <w:jc w:val="both"/>
      </w:pPr>
      <w:r>
        <w:t>Par finansējuma vai cita veida atbalsta piešķiršanu katram atsevišķam projektam lemj publiska pasākuma “Ziedotāju aplis” dalībnieki, kas var būt ikviens interesents. Pasākums tiks publiski izziņots, kā arī LF nodrošin</w:t>
      </w:r>
      <w:r>
        <w:t>ās potenciālo ziedotāju personīgu uzaicināšanu dalībai pasākumā.</w:t>
      </w:r>
    </w:p>
    <w:p w:rsidR="00B032A7" w:rsidRDefault="00B032A7">
      <w:pPr>
        <w:ind w:left="1134"/>
        <w:jc w:val="both"/>
      </w:pPr>
    </w:p>
    <w:p w:rsidR="00B032A7" w:rsidRDefault="00257DA8">
      <w:pPr>
        <w:numPr>
          <w:ilvl w:val="0"/>
          <w:numId w:val="6"/>
        </w:numPr>
        <w:spacing w:after="120"/>
        <w:ind w:left="539" w:hanging="113"/>
        <w:jc w:val="both"/>
      </w:pPr>
      <w:r>
        <w:rPr>
          <w:b/>
        </w:rPr>
        <w:t>Projektu atlase un finansēšanas nosacījumi</w:t>
      </w:r>
    </w:p>
    <w:p w:rsidR="00B032A7" w:rsidRDefault="00257DA8">
      <w:pPr>
        <w:numPr>
          <w:ilvl w:val="1"/>
          <w:numId w:val="2"/>
        </w:numPr>
        <w:ind w:left="567" w:hanging="567"/>
        <w:jc w:val="both"/>
      </w:pPr>
      <w:r>
        <w:t>LF izveidota vērtēšanas komisija no iesniegtajiem projektu pieteikumiem atlasa līdz 4 (četriem) projektiem, ņemot vērā projekta idejas unikalitāti,</w:t>
      </w:r>
      <w:r>
        <w:t xml:space="preserve"> atraktivitāti, sabiedrisko nozīmīgumu un projekta pieteicēja projekta īstenošanas kapacitātes novērtējumu. Komisijas lēmums nav apstrīdams.</w:t>
      </w:r>
    </w:p>
    <w:p w:rsidR="00B032A7" w:rsidRDefault="00257DA8">
      <w:pPr>
        <w:numPr>
          <w:ilvl w:val="1"/>
          <w:numId w:val="2"/>
        </w:numPr>
        <w:ind w:left="567" w:hanging="567"/>
        <w:jc w:val="both"/>
      </w:pPr>
      <w:r>
        <w:t>Atlasītie projekti tiek prezentēti un par to atbalstu tiek lemts publiskā pasākumā “Ziedotāju aplis” (turpmāk – Pas</w:t>
      </w:r>
      <w:r>
        <w:t xml:space="preserve">ākums) </w:t>
      </w:r>
      <w:r>
        <w:rPr>
          <w:b/>
        </w:rPr>
        <w:t xml:space="preserve">šī gada 23.februārī, </w:t>
      </w:r>
      <w:r>
        <w:rPr>
          <w:b/>
        </w:rPr>
        <w:t>Alojas novada uzņēmējdarbības atbalsta centrā - bibliotēkā SALA</w:t>
      </w:r>
      <w:r>
        <w:rPr>
          <w:b/>
        </w:rPr>
        <w:t xml:space="preserve">, </w:t>
      </w:r>
      <w:r>
        <w:t>Liepu ielā 3, Ungurpilī, Alojas pagastā,  Alojas novadā</w:t>
      </w:r>
      <w:r>
        <w:rPr>
          <w:b/>
        </w:rPr>
        <w:t xml:space="preserve"> </w:t>
      </w:r>
      <w:r>
        <w:t>šādā kārtībā:</w:t>
      </w:r>
    </w:p>
    <w:p w:rsidR="00B032A7" w:rsidRDefault="00257DA8">
      <w:pPr>
        <w:numPr>
          <w:ilvl w:val="2"/>
          <w:numId w:val="2"/>
        </w:numPr>
        <w:ind w:left="1276" w:hanging="709"/>
        <w:jc w:val="both"/>
      </w:pPr>
      <w:r>
        <w:t>katrs projekta pieteicējs sniedz kodolīgu līdz 6 (sešu) minūšu ilgu projekta idejas prezentāc</w:t>
      </w:r>
      <w:r>
        <w:t xml:space="preserve">iju; </w:t>
      </w:r>
    </w:p>
    <w:p w:rsidR="00B032A7" w:rsidRDefault="00257DA8">
      <w:pPr>
        <w:numPr>
          <w:ilvl w:val="2"/>
          <w:numId w:val="2"/>
        </w:numPr>
        <w:ind w:left="1276" w:hanging="709"/>
        <w:jc w:val="both"/>
      </w:pPr>
      <w:r>
        <w:t>papildus līdz 6 (sešām) minūtēm Pasākuma dalībniekiem ir iespēja uzdot projekta idejas autoram papildus jautājumus un autoram sniegt uz tiem atbildes;</w:t>
      </w:r>
    </w:p>
    <w:p w:rsidR="00B032A7" w:rsidRDefault="00257DA8">
      <w:pPr>
        <w:numPr>
          <w:ilvl w:val="2"/>
          <w:numId w:val="2"/>
        </w:numPr>
        <w:ind w:left="1276" w:hanging="709"/>
        <w:jc w:val="both"/>
      </w:pPr>
      <w:r>
        <w:t xml:space="preserve">1 (vienu) minūti katru no projektu idejām aizstāv kāds Pasākuma dalībnieks - Labdarības vēstnesis, </w:t>
      </w:r>
      <w:r>
        <w:t>kurš ir arī pirmais ziedotājs;</w:t>
      </w:r>
    </w:p>
    <w:p w:rsidR="00B032A7" w:rsidRDefault="00257DA8">
      <w:pPr>
        <w:numPr>
          <w:ilvl w:val="2"/>
          <w:numId w:val="2"/>
        </w:numPr>
        <w:ind w:left="1276" w:hanging="709"/>
        <w:jc w:val="both"/>
      </w:pPr>
      <w:r>
        <w:lastRenderedPageBreak/>
        <w:t>pasākuma dalībnieki mutiski vai rakstiski sniedz apsolījumu par savu ieguldījumu katra projekta īstenošanai, kas var būt finansiāls, materiāls ziedojums vai cits atbalsts.</w:t>
      </w:r>
    </w:p>
    <w:p w:rsidR="00B032A7" w:rsidRDefault="00257DA8">
      <w:pPr>
        <w:numPr>
          <w:ilvl w:val="2"/>
          <w:numId w:val="2"/>
        </w:numPr>
        <w:ind w:left="1276" w:hanging="709"/>
        <w:jc w:val="both"/>
      </w:pPr>
      <w:r>
        <w:t>pēc apsolījumu saņemšanas Pasākuma organizatori paziņ</w:t>
      </w:r>
      <w:r>
        <w:t>o katrai projekta idejai apsolīto atbalsta apmēru.</w:t>
      </w:r>
    </w:p>
    <w:p w:rsidR="00B032A7" w:rsidRDefault="00257DA8">
      <w:pPr>
        <w:numPr>
          <w:ilvl w:val="1"/>
          <w:numId w:val="2"/>
        </w:numPr>
        <w:ind w:left="567" w:hanging="567"/>
        <w:jc w:val="both"/>
      </w:pPr>
      <w:r>
        <w:t>Konkursa ietvaros kopējais pieejamais finansējums nav paredzams.</w:t>
      </w:r>
    </w:p>
    <w:p w:rsidR="00B032A7" w:rsidRDefault="00257DA8">
      <w:pPr>
        <w:numPr>
          <w:ilvl w:val="1"/>
          <w:numId w:val="2"/>
        </w:numPr>
        <w:ind w:left="567" w:hanging="567"/>
        <w:jc w:val="both"/>
      </w:pPr>
      <w:r>
        <w:t>Viena projekta īstenošanai piešķirtais finansējums nav paredzams, tas ir atkarīgs no projekta idejas, tās autora prezentācijas kvalitātes un</w:t>
      </w:r>
      <w:r>
        <w:t xml:space="preserve"> Pasākuma dalībnieku finansiālām iespējām.</w:t>
      </w:r>
    </w:p>
    <w:p w:rsidR="00B032A7" w:rsidRDefault="00257DA8">
      <w:pPr>
        <w:ind w:left="567"/>
        <w:jc w:val="both"/>
      </w:pPr>
      <w:r>
        <w:rPr>
          <w:i/>
        </w:rPr>
        <w:t xml:space="preserve">Ņemot vērā Pasākuma formātu un citu fondu pieredzi šādu Pasākumu rīkošanā, iesakām projekta budžetu plānot pāris simtu līdz tūkstošs eiro apmērā! </w:t>
      </w:r>
    </w:p>
    <w:p w:rsidR="00B032A7" w:rsidRDefault="00257DA8">
      <w:pPr>
        <w:numPr>
          <w:ilvl w:val="1"/>
          <w:numId w:val="2"/>
        </w:numPr>
        <w:ind w:left="567" w:hanging="567"/>
        <w:jc w:val="both"/>
      </w:pPr>
      <w:r>
        <w:t>Projekta izmaksu pozīcijas netiek ierobežotas ne veida, ne apjoma ziņā.</w:t>
      </w:r>
    </w:p>
    <w:p w:rsidR="00B032A7" w:rsidRDefault="00257DA8">
      <w:pPr>
        <w:numPr>
          <w:ilvl w:val="1"/>
          <w:numId w:val="2"/>
        </w:numPr>
        <w:ind w:left="567" w:hanging="567"/>
        <w:jc w:val="both"/>
      </w:pPr>
      <w:r>
        <w:t>No Pasākuma rezultātā saņemtajiem ziedojumiem tiek ieturēts finansējums 5% apmērā LF administratīvo izdevumu segšanai.</w:t>
      </w:r>
    </w:p>
    <w:p w:rsidR="00B032A7" w:rsidRDefault="00257DA8">
      <w:pPr>
        <w:numPr>
          <w:ilvl w:val="1"/>
          <w:numId w:val="2"/>
        </w:numPr>
        <w:ind w:left="567" w:hanging="567"/>
        <w:jc w:val="both"/>
      </w:pPr>
      <w:r>
        <w:t>Pēc Pasākuma norises 10 (desmit) dienu laikā ziedotāji veic apsol</w:t>
      </w:r>
      <w:r>
        <w:t>ītā finansiālā ziedojuma iemaksu LF.</w:t>
      </w:r>
    </w:p>
    <w:p w:rsidR="00B032A7" w:rsidRDefault="00257DA8">
      <w:pPr>
        <w:numPr>
          <w:ilvl w:val="1"/>
          <w:numId w:val="2"/>
        </w:numPr>
        <w:ind w:left="567" w:hanging="567"/>
        <w:jc w:val="both"/>
      </w:pPr>
      <w:r>
        <w:t>Pēc ziedojumu iemaksu veikšanas LF 20 (divdesmit) dienu laikā sagatavo un noslēdz Finansēšanas līgumus ar Pasākuma laikā ziedojumus saņēmušo projekta pieteikumu iesniedzējiem, un pēc tā parakstīšanas 5 (piecu) dienu lai</w:t>
      </w:r>
      <w:r>
        <w:t>kā ieskaita projekta finansējumu 100 % apmērā projekta koordinatora norādītajā bankas kontā.</w:t>
      </w:r>
    </w:p>
    <w:p w:rsidR="00B032A7" w:rsidRDefault="00B032A7">
      <w:pPr>
        <w:ind w:left="567"/>
        <w:jc w:val="both"/>
      </w:pPr>
    </w:p>
    <w:p w:rsidR="00B032A7" w:rsidRDefault="00257DA8">
      <w:pPr>
        <w:numPr>
          <w:ilvl w:val="0"/>
          <w:numId w:val="2"/>
        </w:numPr>
        <w:spacing w:after="120"/>
        <w:ind w:left="539" w:hanging="113"/>
        <w:jc w:val="both"/>
      </w:pPr>
      <w:r>
        <w:rPr>
          <w:b/>
        </w:rPr>
        <w:t xml:space="preserve">Projektu pieteikumu sagatavošana un iesniegšana </w:t>
      </w:r>
    </w:p>
    <w:p w:rsidR="00B032A7" w:rsidRDefault="00257DA8">
      <w:pPr>
        <w:numPr>
          <w:ilvl w:val="1"/>
          <w:numId w:val="5"/>
        </w:numPr>
        <w:ind w:left="567" w:hanging="567"/>
        <w:jc w:val="both"/>
      </w:pPr>
      <w:r>
        <w:t xml:space="preserve">Projekta pieteikums sastāv no šādām daļām: </w:t>
      </w:r>
    </w:p>
    <w:p w:rsidR="00B032A7" w:rsidRDefault="00257DA8">
      <w:pPr>
        <w:numPr>
          <w:ilvl w:val="2"/>
          <w:numId w:val="5"/>
        </w:numPr>
        <w:ind w:left="1276" w:hanging="709"/>
        <w:jc w:val="both"/>
      </w:pPr>
      <w:r>
        <w:t xml:space="preserve">datorrakstā aizpildīta pieteikuma veidlapa (Pielikums Nr.1); </w:t>
      </w:r>
    </w:p>
    <w:p w:rsidR="00B032A7" w:rsidRDefault="00257DA8">
      <w:pPr>
        <w:numPr>
          <w:ilvl w:val="2"/>
          <w:numId w:val="5"/>
        </w:numPr>
        <w:ind w:left="1276" w:hanging="709"/>
        <w:jc w:val="both"/>
      </w:pPr>
      <w:r>
        <w:t>projekt</w:t>
      </w:r>
      <w:r>
        <w:t xml:space="preserve">a koordinatora CV; </w:t>
      </w:r>
    </w:p>
    <w:p w:rsidR="00B032A7" w:rsidRDefault="00257DA8">
      <w:pPr>
        <w:numPr>
          <w:ilvl w:val="2"/>
          <w:numId w:val="5"/>
        </w:numPr>
        <w:ind w:left="1276" w:hanging="709"/>
        <w:jc w:val="both"/>
      </w:pPr>
      <w:r>
        <w:t xml:space="preserve">citas informācija, kuru projekta iesniedzējs uzskata par svarīgu. </w:t>
      </w:r>
    </w:p>
    <w:p w:rsidR="00B032A7" w:rsidRDefault="00257DA8">
      <w:pPr>
        <w:numPr>
          <w:ilvl w:val="1"/>
          <w:numId w:val="5"/>
        </w:numPr>
        <w:ind w:left="567" w:hanging="567"/>
        <w:jc w:val="both"/>
      </w:pPr>
      <w:r>
        <w:t xml:space="preserve">Konkursa nolikums un projekta pieteikuma veidlapa pieejama LF mājas lapā </w:t>
      </w:r>
      <w:hyperlink r:id="rId6">
        <w:r>
          <w:rPr>
            <w:u w:val="single"/>
          </w:rPr>
          <w:t>www.limbazufonds.lv</w:t>
        </w:r>
      </w:hyperlink>
      <w:r>
        <w:t>.</w:t>
      </w:r>
    </w:p>
    <w:p w:rsidR="00B032A7" w:rsidRDefault="00257DA8">
      <w:pPr>
        <w:numPr>
          <w:ilvl w:val="1"/>
          <w:numId w:val="5"/>
        </w:numPr>
        <w:ind w:left="567" w:hanging="567"/>
        <w:jc w:val="both"/>
      </w:pPr>
      <w:r>
        <w:rPr>
          <w:b/>
        </w:rPr>
        <w:t>Projektu pieteikumu iesniegša</w:t>
      </w:r>
      <w:r>
        <w:rPr>
          <w:b/>
        </w:rPr>
        <w:t>nas termiņš ir 2018. gada 16.februāris plkst. 16:00</w:t>
      </w:r>
      <w:r>
        <w:t>. Projekti, kas saņemti pēc norādītā laika, netiks izskatīti.</w:t>
      </w:r>
    </w:p>
    <w:p w:rsidR="00B032A7" w:rsidRDefault="00257DA8">
      <w:pPr>
        <w:numPr>
          <w:ilvl w:val="1"/>
          <w:numId w:val="5"/>
        </w:numPr>
        <w:ind w:left="567" w:hanging="567"/>
        <w:jc w:val="both"/>
      </w:pPr>
      <w:r>
        <w:t xml:space="preserve">Punktā 3.1. minētie dokumenti 3.3.punktā minētajā termiņā </w:t>
      </w:r>
      <w:proofErr w:type="spellStart"/>
      <w:r>
        <w:t>jānosūta</w:t>
      </w:r>
      <w:proofErr w:type="spellEnd"/>
      <w:r>
        <w:t xml:space="preserve"> uz e-pastu </w:t>
      </w:r>
      <w:hyperlink r:id="rId7">
        <w:r>
          <w:rPr>
            <w:b/>
            <w:u w:val="single"/>
          </w:rPr>
          <w:t>spidola.liel</w:t>
        </w:r>
        <w:r>
          <w:rPr>
            <w:b/>
            <w:u w:val="single"/>
          </w:rPr>
          <w:t>mane@gmail.com</w:t>
        </w:r>
      </w:hyperlink>
      <w:r>
        <w:t>.</w:t>
      </w:r>
    </w:p>
    <w:p w:rsidR="00B032A7" w:rsidRDefault="00257DA8">
      <w:pPr>
        <w:numPr>
          <w:ilvl w:val="1"/>
          <w:numId w:val="5"/>
        </w:numPr>
        <w:ind w:left="567" w:hanging="567"/>
        <w:jc w:val="both"/>
      </w:pPr>
      <w:r>
        <w:t xml:space="preserve">Konsultācijas un papildus informācija par projektu konkursu pieejama pa e-pastu </w:t>
      </w:r>
      <w:hyperlink r:id="rId8">
        <w:r>
          <w:rPr>
            <w:u w:val="single"/>
          </w:rPr>
          <w:t>spidola.lielmane@gmail.com</w:t>
        </w:r>
      </w:hyperlink>
      <w:r>
        <w:t xml:space="preserve"> vai tālruni 29466955.</w:t>
      </w:r>
    </w:p>
    <w:p w:rsidR="00B032A7" w:rsidRDefault="00B032A7">
      <w:pPr>
        <w:jc w:val="both"/>
      </w:pPr>
    </w:p>
    <w:p w:rsidR="00B032A7" w:rsidRDefault="00257DA8">
      <w:pPr>
        <w:numPr>
          <w:ilvl w:val="0"/>
          <w:numId w:val="4"/>
        </w:numPr>
        <w:spacing w:after="120"/>
        <w:ind w:left="538" w:hanging="112"/>
        <w:jc w:val="both"/>
      </w:pPr>
      <w:r>
        <w:rPr>
          <w:b/>
        </w:rPr>
        <w:t>Projektu īstenošana un atskaitīšanās</w:t>
      </w:r>
    </w:p>
    <w:p w:rsidR="00B032A7" w:rsidRDefault="00257DA8">
      <w:pPr>
        <w:numPr>
          <w:ilvl w:val="1"/>
          <w:numId w:val="3"/>
        </w:numPr>
        <w:ind w:left="567" w:hanging="567"/>
        <w:jc w:val="both"/>
      </w:pPr>
      <w:r>
        <w:t>Projekta ideja var tikt īstenota neierobežotā laika periodā, arī pastāvīgi, taču projekta pieteikumam piešķirtais finansējums izlietojams 8 (astoņu) mēnešu laikā pēc Finansēšanas līguma noslēgšanas.</w:t>
      </w:r>
    </w:p>
    <w:p w:rsidR="00B032A7" w:rsidRDefault="00257DA8">
      <w:pPr>
        <w:numPr>
          <w:ilvl w:val="1"/>
          <w:numId w:val="3"/>
        </w:numPr>
        <w:ind w:left="567" w:hanging="567"/>
        <w:jc w:val="both"/>
      </w:pPr>
      <w:r>
        <w:t>Pēc projekta īstenošanas projekta iesniedzējs 2 (divu) ne</w:t>
      </w:r>
      <w:r>
        <w:t>dēļu laikā iesniedz saturisko un finanšu atskaiti (</w:t>
      </w:r>
      <w:r>
        <w:rPr>
          <w:i/>
        </w:rPr>
        <w:t>veidlapas tiks pievienotas Finansēšanas līgumam</w:t>
      </w:r>
      <w:r>
        <w:t xml:space="preserve">), pievienojot izdevumus apliecinošus dokumentus. Dokumenti </w:t>
      </w:r>
      <w:proofErr w:type="spellStart"/>
      <w:r>
        <w:t>jānosūta</w:t>
      </w:r>
      <w:proofErr w:type="spellEnd"/>
      <w:r>
        <w:t xml:space="preserve"> pa pastu uz adresi: „Lauciņi”, Limbažu pagasts, Limbažu novads, LV-4020. </w:t>
      </w:r>
    </w:p>
    <w:p w:rsidR="00B032A7" w:rsidRDefault="00257DA8">
      <w:pPr>
        <w:ind w:left="567"/>
        <w:jc w:val="both"/>
      </w:pPr>
      <w:r>
        <w:t>Papildus saturi</w:t>
      </w:r>
      <w:r>
        <w:t xml:space="preserve">skā atskaite Word formātā un projekta īstenošanas gaitu un rezultātus atspoguļojoši foto (5-10 gab.) </w:t>
      </w:r>
      <w:proofErr w:type="spellStart"/>
      <w:r>
        <w:t>jānosūta</w:t>
      </w:r>
      <w:proofErr w:type="spellEnd"/>
      <w:r>
        <w:t xml:space="preserve"> uz e-pastu spidola.lielmane@gmail.com.</w:t>
      </w:r>
    </w:p>
    <w:p w:rsidR="00B032A7" w:rsidRDefault="00B032A7"/>
    <w:sectPr w:rsidR="00B032A7">
      <w:pgSz w:w="11906" w:h="16838"/>
      <w:pgMar w:top="1134" w:right="566" w:bottom="144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68B"/>
    <w:multiLevelType w:val="multilevel"/>
    <w:tmpl w:val="9A9012E6"/>
    <w:lvl w:ilvl="0">
      <w:start w:val="3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9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8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0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97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6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512" w:hanging="1800"/>
      </w:pPr>
      <w:rPr>
        <w:vertAlign w:val="baseline"/>
      </w:rPr>
    </w:lvl>
  </w:abstractNum>
  <w:abstractNum w:abstractNumId="1" w15:restartNumberingAfterBreak="0">
    <w:nsid w:val="26F11FDB"/>
    <w:multiLevelType w:val="multilevel"/>
    <w:tmpl w:val="8732FB02"/>
    <w:lvl w:ilvl="0">
      <w:start w:val="4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vertAlign w:val="baseline"/>
      </w:rPr>
    </w:lvl>
  </w:abstractNum>
  <w:abstractNum w:abstractNumId="2" w15:restartNumberingAfterBreak="0">
    <w:nsid w:val="3081735B"/>
    <w:multiLevelType w:val="multilevel"/>
    <w:tmpl w:val="8E9C8B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" w15:restartNumberingAfterBreak="0">
    <w:nsid w:val="44FC4712"/>
    <w:multiLevelType w:val="multilevel"/>
    <w:tmpl w:val="643851C2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1092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vertAlign w:val="baseline"/>
      </w:rPr>
    </w:lvl>
  </w:abstractNum>
  <w:abstractNum w:abstractNumId="4" w15:restartNumberingAfterBreak="0">
    <w:nsid w:val="5D9D2B55"/>
    <w:multiLevelType w:val="multilevel"/>
    <w:tmpl w:val="08C6085A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vertAlign w:val="baseline"/>
      </w:rPr>
    </w:lvl>
  </w:abstractNum>
  <w:abstractNum w:abstractNumId="5" w15:restartNumberingAfterBreak="0">
    <w:nsid w:val="74FB185A"/>
    <w:multiLevelType w:val="multilevel"/>
    <w:tmpl w:val="EDEE6EFC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A7"/>
    <w:rsid w:val="00257DA8"/>
    <w:rsid w:val="00B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F1D1-3D56-490D-9F11-D2902604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dola.lielma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dola.lielm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bazufonds.lv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Baiba</cp:lastModifiedBy>
  <cp:revision>2</cp:revision>
  <dcterms:created xsi:type="dcterms:W3CDTF">2018-01-23T08:12:00Z</dcterms:created>
  <dcterms:modified xsi:type="dcterms:W3CDTF">2018-01-23T08:12:00Z</dcterms:modified>
</cp:coreProperties>
</file>